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cs="Times New Roman" w:ascii="Times New Roman" w:hAnsi="Times New Roman"/>
          <w:sz w:val="24"/>
          <w:szCs w:val="24"/>
        </w:rPr>
        <w:t>Приложение 5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государственной программе "Развитие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образования и науки Брянской области"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Порядок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предоставления субсидий бюджетам муниципальных районов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(муниципальных округов, городских округов)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замену оконных блоков муниципальных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образовательных организаций Брянской области в рамках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государственной программы "Развитие образования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науки Брянской области"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Настоящий Порядок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замену оконных блоков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143"/>
      <w:bookmarkEnd w:id="1"/>
      <w:r>
        <w:rPr>
          <w:rFonts w:cs="Times New Roman" w:ascii="Times New Roman" w:hAnsi="Times New Roman"/>
          <w:sz w:val="24"/>
          <w:szCs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замене оконных блоков организаций.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Общий размер субсидии i-му муниципальному образованию (S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667510" cy="495935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1666800" cy="4953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39.05pt;width:131.2pt;height:38.95pt;v-text-anchor:middle;mso-position-vertical:top" type="shapetype_75">
                <v:imagedata r:id="rId3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</w:t>
      </w:r>
      <w:r>
        <w:rPr>
          <w:rFonts w:cs="Times New Roman" w:ascii="Times New Roman" w:hAnsi="Times New Roman"/>
          <w:sz w:val="24"/>
          <w:szCs w:val="24"/>
          <w:vertAlign w:val="subscript"/>
        </w:rPr>
        <w:t>o</w:t>
      </w:r>
      <w:r>
        <w:rPr>
          <w:rFonts w:cs="Times New Roman" w:ascii="Times New Roman" w:hAnsi="Times New Roman"/>
          <w:sz w:val="24"/>
          <w:szCs w:val="24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Zi - объем средств на исполнение мероприятий в i-муниципальном образовании;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Y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утвержденный нормативным правовым актом Правительства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Критериями отбора муниципальных образований для предоставления субсидии является: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потребность в замене оконных блоков организаций;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наличие сметной документации на замену оконных блоков, имеющей положительное заключение о достоверности определения сметной стоимости (при необходимости);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 комиссионного обследования состояния оконных блоков.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Условиями предоставления и расходования субсидии являются: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159"/>
      <w:bookmarkEnd w:id="2"/>
      <w:r>
        <w:rPr>
          <w:rFonts w:cs="Times New Roman" w:ascii="Times New Roman" w:hAnsi="Times New Roman"/>
          <w:sz w:val="24"/>
          <w:szCs w:val="24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143">
        <w:r>
          <w:rPr>
            <w:rFonts w:cs="Times New Roman" w:ascii="Times New Roman" w:hAnsi="Times New Roman"/>
            <w:sz w:val="24"/>
            <w:szCs w:val="24"/>
          </w:rPr>
          <w:t>пунктом 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160"/>
      <w:bookmarkEnd w:id="3"/>
      <w:r>
        <w:rPr>
          <w:rFonts w:cs="Times New Roman" w:ascii="Times New Roman" w:hAnsi="Times New Roman"/>
          <w:sz w:val="24"/>
          <w:szCs w:val="24"/>
        </w:rPr>
        <w:t>б)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заключение соглашения между департаментом и органом местного самоуправления муниципального образования о предоставлении субсидии (далее - соглашение) в соответствии с </w:t>
      </w:r>
      <w:hyperlink r:id="rId4">
        <w:r>
          <w:rPr>
            <w:rFonts w:cs="Times New Roman" w:ascii="Times New Roman" w:hAnsi="Times New Roman"/>
            <w:sz w:val="24"/>
            <w:szCs w:val="24"/>
          </w:rPr>
          <w:t>пунктом 10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5">
        <w:r>
          <w:rPr>
            <w:rFonts w:cs="Times New Roman" w:ascii="Times New Roman" w:hAnsi="Times New Roman"/>
            <w:sz w:val="24"/>
            <w:szCs w:val="24"/>
          </w:rPr>
          <w:t>пункта 10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</w:t>
      </w:r>
      <w:hyperlink w:anchor="P11159">
        <w:r>
          <w:rPr>
            <w:rFonts w:cs="Times New Roman" w:ascii="Times New Roman" w:hAnsi="Times New Roman"/>
            <w:sz w:val="24"/>
            <w:szCs w:val="24"/>
          </w:rPr>
          <w:t>подпунктами "а"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</w:t>
      </w:r>
      <w:hyperlink w:anchor="P11160">
        <w:r>
          <w:rPr>
            <w:rFonts w:cs="Times New Roman" w:ascii="Times New Roman" w:hAnsi="Times New Roman"/>
            <w:sz w:val="24"/>
            <w:szCs w:val="24"/>
          </w:rPr>
          <w:t>"б" пункта 8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Результатом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15. Оценка эффективности использования муниципальным образованием субсидии осуществляется исходя из достигнутого значения показателя результата использования субсидии, предусмотренного пунктом 14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16. Орган местного самоуправления муниципального образования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18.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143">
        <w:r>
          <w:rPr>
            <w:rFonts w:cs="Times New Roman" w:ascii="Times New Roman" w:hAnsi="Times New Roman"/>
            <w:sz w:val="24"/>
            <w:szCs w:val="24"/>
          </w:rPr>
          <w:t>пункте 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Порядка,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 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r>
        <w:rPr>
          <w:rFonts w:cs="Times New Roman" w:ascii="Times New Roman" w:hAnsi="Times New Roman"/>
          <w:sz w:val="24"/>
          <w:szCs w:val="24"/>
        </w:rPr>
        <w:t>20. Контроль за соблюдением муниципальным образованием условий предоставления и расходования субсидии осуществляется департаментом.</w:t>
      </w:r>
      <w:bookmarkEnd w:id="4"/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LibreOffice/7.0.1.2$Windows_X86_64 LibreOffice_project/7cbcfc562f6eb6708b5ff7d7397325de9e764452</Application>
  <Pages>3</Pages>
  <Words>982</Words>
  <Characters>7875</Characters>
  <CharactersWithSpaces>8814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2021-08-30T09:51:00Z</dcterms:created>
  <dc:creator>User</dc:creator>
  <dc:description/>
  <dc:language>ru-RU</dc:language>
  <cp:lastModifiedBy>User</cp:lastModifiedBy>
  <dcterms:modified xsi:type="dcterms:W3CDTF">2021-10-02T10:26:00Z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